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233201" w:rsidRPr="00CC2163" w:rsidTr="00CC2163">
        <w:tc>
          <w:tcPr>
            <w:tcW w:w="4785" w:type="dxa"/>
          </w:tcPr>
          <w:p w:rsidR="00233201" w:rsidRPr="00CC2163" w:rsidRDefault="00233201" w:rsidP="00CC2163">
            <w:pPr>
              <w:pStyle w:val="western"/>
              <w:spacing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86" w:type="dxa"/>
          </w:tcPr>
          <w:p w:rsidR="00233201" w:rsidRPr="00CC2163" w:rsidRDefault="00233201" w:rsidP="007A593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ИНСТРУКЦИЯ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 применению ветеринарного препарата «ХИОВЕТ»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ind w:left="14"/>
        <w:jc w:val="center"/>
        <w:rPr>
          <w:color w:val="000000"/>
        </w:rPr>
      </w:pPr>
      <w:r>
        <w:rPr>
          <w:b/>
          <w:bCs/>
          <w:color w:val="000000"/>
        </w:rPr>
        <w:t>1 ОБЩИЕ СВЕДЕНИЯ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ХИОВЕТ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</w:t>
      </w:r>
      <w:r>
        <w:rPr>
          <w:color w:val="000000"/>
          <w:lang w:val="en-US"/>
        </w:rPr>
        <w:t>yovetum</w:t>
      </w:r>
      <w:r>
        <w:rPr>
          <w:color w:val="000000"/>
        </w:rPr>
        <w:t>).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 Хиовет выпускают в форме раствора для инъекций, представляющего собой прозрачную жидкость от бесцветного до светло-коричневого цвета.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</w:rPr>
      </w:pPr>
      <w:r>
        <w:rPr>
          <w:color w:val="000000"/>
        </w:rPr>
        <w:t>1.3 В 1,0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см</w:t>
      </w:r>
      <w:r>
        <w:rPr>
          <w:color w:val="000000"/>
          <w:vertAlign w:val="superscript"/>
        </w:rPr>
        <w:t>3</w:t>
      </w:r>
      <w:r>
        <w:rPr>
          <w:rStyle w:val="apple-converted-space"/>
          <w:color w:val="000000"/>
          <w:vertAlign w:val="superscript"/>
        </w:rPr>
        <w:t> </w:t>
      </w:r>
      <w:r>
        <w:rPr>
          <w:color w:val="000000"/>
        </w:rPr>
        <w:t>ветеринарного препарата «Хиовет» содержится 10,0 мг гиалуроната натрия в натриево-фосфатном буфере.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</w:rPr>
      </w:pPr>
      <w:r>
        <w:rPr>
          <w:color w:val="000000"/>
        </w:rPr>
        <w:t>1.4 Препарат упаковывают в стеклянные флаконы по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1,0; 2,0; 3,0; 5,0; 6,0; 10,0; 20,0; 50,0; 100,0; 200,0; 400,0 или 500,0 см</w:t>
      </w:r>
      <w:r>
        <w:rPr>
          <w:color w:val="000000"/>
          <w:vertAlign w:val="superscript"/>
        </w:rPr>
        <w:t>3</w:t>
      </w:r>
      <w:r>
        <w:rPr>
          <w:color w:val="000000"/>
        </w:rPr>
        <w:t>. Вторичная упаковка – коробки картонные.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</w:rPr>
      </w:pPr>
      <w:r>
        <w:rPr>
          <w:color w:val="000000"/>
        </w:rPr>
        <w:t>1.5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Препарат хранят в упаковке предприятия-изготовителя в сухом, защищенном от света месте при температуре от 0 до плюс 25 °С. Список Б.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1.6 Срок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годности препарата − 2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года с даты изготовления, при соблюдении условий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хранения.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center"/>
        <w:rPr>
          <w:color w:val="000000"/>
        </w:rPr>
      </w:pPr>
      <w:r>
        <w:rPr>
          <w:b/>
          <w:bCs/>
          <w:color w:val="000000"/>
        </w:rPr>
        <w:t>2 ФАРМАКОЛОГИЧЕСКИЕ СВОЙСТВА</w:t>
      </w:r>
    </w:p>
    <w:p w:rsidR="00233201" w:rsidRDefault="00233201" w:rsidP="000C0B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color w:val="000000"/>
        </w:rPr>
        <w:t>2.1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Гиалуроновая кислота – </w:t>
      </w:r>
      <w:r>
        <w:rPr>
          <w:color w:val="252525"/>
        </w:rPr>
        <w:t xml:space="preserve">несульфированный гликозаминогликан, входящий в состав соединительной, эпителиальной и нервной тканей, содержащийся в </w:t>
      </w:r>
      <w:r>
        <w:rPr>
          <w:color w:val="000000"/>
        </w:rPr>
        <w:t xml:space="preserve">стекловидном теле, коже и </w:t>
      </w:r>
      <w:r>
        <w:rPr>
          <w:color w:val="252525"/>
        </w:rPr>
        <w:t>во многих</w:t>
      </w:r>
      <w:r>
        <w:rPr>
          <w:rStyle w:val="apple-converted-space"/>
          <w:color w:val="252525"/>
        </w:rPr>
        <w:t xml:space="preserve"> биологических жидкостях. </w:t>
      </w:r>
      <w:r>
        <w:rPr>
          <w:color w:val="252525"/>
        </w:rPr>
        <w:t xml:space="preserve">Является основным компонентом биологической смазки, </w:t>
      </w:r>
      <w:r>
        <w:rPr>
          <w:color w:val="000000"/>
        </w:rPr>
        <w:t>защищает хрящевую ткань от дегенерации.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color w:val="000000"/>
        </w:rPr>
        <w:t xml:space="preserve"> 2.2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 попадании в сустав гиалуроновая кислота повышает вязкость синовиальной жидкости сустава, уменьшает трение суставных поверхностей при движении, улучшает питание клеток - хондроцитов, способствует регуляции функции синовиальной мембраны, создает лучшие условия для восстановления суставного хряща, активизирует подвижность гранулоцитов и макрофагов, снижая тем самым выраженность воспалительных процессов в суставе. С учетом этого, применение хиовета способствует улучшению подвижности суставов и уменьшению болевых ощущений.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2.3 Препарат замедляет дистрофические процессы в хрящевой ткани, особенно при использовании в начале заболевания.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 Хиовет малотоксичен, не оказывает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сенсибилизирующего, тератогенного и эмбриотоксического действия, не обладает кумулятивными свойствами.</w:t>
      </w:r>
      <w:r>
        <w:rPr>
          <w:rStyle w:val="apple-converted-space"/>
          <w:color w:val="000000"/>
        </w:rPr>
        <w:t> 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ind w:right="14"/>
        <w:jc w:val="center"/>
        <w:rPr>
          <w:color w:val="000000"/>
        </w:rPr>
      </w:pPr>
      <w:r>
        <w:rPr>
          <w:b/>
          <w:bCs/>
          <w:color w:val="000000"/>
        </w:rPr>
        <w:t>3 ПОРЯДОК ПРИМЕНЕНИЯ ПРЕПАРАТА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Препарат применяют собакам и лошадям в качестве лечебно- профилактического средства при артритах, артрозах, остеохондрозах, синовитах неинфекционной этиологии, а также в качестве вспомогательного средства при лечении травм, связанных с повреждением суставов.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Препарат назначают внутривенно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собакам массой до 5 кг − в дозе 0,1 см</w:t>
      </w:r>
      <w:r>
        <w:rPr>
          <w:color w:val="000000"/>
          <w:vertAlign w:val="superscript"/>
        </w:rPr>
        <w:t>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smartTag w:uri="urn:schemas-microsoft-com:office:smarttags" w:element="metricconverter">
        <w:smartTagPr>
          <w:attr w:name="ProductID" w:val="1 кг"/>
        </w:smartTagPr>
        <w:r>
          <w:rPr>
            <w:color w:val="000000"/>
          </w:rPr>
          <w:t>1 кг</w:t>
        </w:r>
      </w:smartTag>
      <w:r>
        <w:rPr>
          <w:color w:val="000000"/>
        </w:rPr>
        <w:t xml:space="preserve"> массы животного, массой свыше 5 кг − в дозе 0,05 см</w:t>
      </w:r>
      <w:r>
        <w:rPr>
          <w:color w:val="000000"/>
          <w:vertAlign w:val="superscript"/>
        </w:rPr>
        <w:t>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smartTag w:uri="urn:schemas-microsoft-com:office:smarttags" w:element="metricconverter">
        <w:smartTagPr>
          <w:attr w:name="ProductID" w:val="1 кг"/>
        </w:smartTagPr>
        <w:r>
          <w:rPr>
            <w:color w:val="000000"/>
          </w:rPr>
          <w:t>1 кг</w:t>
        </w:r>
      </w:smartTag>
      <w:r>
        <w:rPr>
          <w:color w:val="000000"/>
        </w:rPr>
        <w:t xml:space="preserve"> массы животного. Интервал между инъекциями − 5-7 дней.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Курс лечения − не более 3-х недель.</w:t>
      </w:r>
    </w:p>
    <w:p w:rsidR="00233201" w:rsidRDefault="00233201" w:rsidP="000C0BB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 тяжелых поражениях суставов у собак препарат может  использоваться для внутрисуставного введения в количестве 1,0-2,0 см</w:t>
      </w:r>
      <w:r>
        <w:rPr>
          <w:color w:val="000000"/>
          <w:vertAlign w:val="superscript"/>
        </w:rPr>
        <w:t>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животное. Инъекция должна выполняться специалистом, владеющим навыками внутрисуставного введения лекарственных средств, при необходимости – под контролем УЗИ. После введения иглы в сустав, удаляют избыточную жидкость (экссудат, лимфу) и только после этого вводят препарат. После инъекции сустав иммобилизируют тугой повязкой или шиной на 24-36 часов.  Если хромота у животного сильно выражена, повторное введение назначают с интервалом 7 суток.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</w:t>
      </w:r>
      <w:r>
        <w:rPr>
          <w:rStyle w:val="apple-converted-space"/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Лошадям препарат вводят внутривенно в дозе 4,0 см</w:t>
      </w:r>
      <w:r>
        <w:rPr>
          <w:color w:val="000000"/>
          <w:vertAlign w:val="superscript"/>
        </w:rPr>
        <w:t>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животное или  в полость пораженного сустава в дозе 2,0 см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В случае необходимости препарат вводят 1−2 раза повторно с интервалом 7 суток.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 При использовании хиовета в комплексной терапии артритов и артрозов могут быть уменьшены дозировки обезболивающих и противовоспалительных препаратов.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3.6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Препарат «Хиовет» оказывает длительное действие, поэтому повторный курс лечения назначают не ранее чем через 6 месяцев.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3.7 Препарат противопоказан при артритах инфекционной этиологии в острой фазе заболевания, при наличии инфицированных поражений кожи, подкожной клетчатки в месте предполагаемого введения. 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3.8 Не рекомендуется применять хиовет одновременно с противомикробными препаратами на основе эритромицина, амоксициллина и цефкинома, так как они снижают его эффективность.</w:t>
      </w:r>
    </w:p>
    <w:p w:rsidR="00233201" w:rsidRDefault="00233201" w:rsidP="000C0BB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рекомендованных дозах препарат хорошо переносится. Иногда на месте введения может образоваться припухлость, которая самостоятельно рассасывается течение одного-двух дней. В редких случаях возможны индивидуальные аллергические реакции.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center"/>
        <w:rPr>
          <w:color w:val="000000"/>
        </w:rPr>
      </w:pPr>
      <w:r>
        <w:rPr>
          <w:b/>
          <w:bCs/>
          <w:color w:val="000000"/>
        </w:rPr>
        <w:t>4 МЕРЫ ЛИЧНОЙ ПРОФИЛАКТИКИ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both"/>
        <w:rPr>
          <w:color w:val="000000"/>
        </w:rPr>
      </w:pPr>
      <w:r>
        <w:rPr>
          <w:color w:val="000000"/>
        </w:rPr>
        <w:t>4.1 При работе с препаратом следует соблюдать общепринятые правила личной гигиены и техники безопасности.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center"/>
        <w:rPr>
          <w:color w:val="000000"/>
        </w:rPr>
      </w:pPr>
      <w:r>
        <w:rPr>
          <w:b/>
          <w:bCs/>
          <w:color w:val="000000"/>
        </w:rPr>
        <w:t>5 ПОРЯДОК ПРЕДЪЯВЛЕНИЯ РЕКЛАМАЦИЙ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both"/>
        <w:rPr>
          <w:color w:val="000000"/>
        </w:rPr>
      </w:pPr>
      <w:r>
        <w:rPr>
          <w:color w:val="000000"/>
        </w:rPr>
        <w:t>5.1 В случае возникновения осложнений после применения препарата, его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использование прекращают, потребитель обращается в государственное ветеринарное учреждение, на территории которого он находится. Ветеринарными специалистами проводится изучение соблюдения всех правил применения препарата в соответствии с инструкцией. При подтверждении выявления отрицательных воздействий препарата на организм животного, ветеринарными специалистами отбирают пробы в необходимом количестве для проведения лабораторных испытаний, составляется акт отбора проб и направляется в Государственное учреждение «Белорусский государственный ветеринарный центр» (</w:t>
      </w:r>
      <w:smartTag w:uri="urn:schemas-microsoft-com:office:smarttags" w:element="metricconverter">
        <w:smartTagPr>
          <w:attr w:name="ProductID" w:val="220005 г"/>
        </w:smartTagPr>
        <w:r>
          <w:rPr>
            <w:color w:val="000000"/>
          </w:rPr>
          <w:t>220005 г</w:t>
        </w:r>
      </w:smartTag>
      <w:r>
        <w:rPr>
          <w:color w:val="000000"/>
        </w:rPr>
        <w:t>. Минск, ул. Красная 19</w:t>
      </w:r>
      <w:r>
        <w:rPr>
          <w:color w:val="000000"/>
          <w:vertAlign w:val="superscript"/>
        </w:rPr>
        <w:t>а</w:t>
      </w:r>
      <w:r>
        <w:rPr>
          <w:color w:val="000000"/>
        </w:rPr>
        <w:t>) для подтверждения на соответствие нормативной документации.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center"/>
        <w:rPr>
          <w:color w:val="000000"/>
        </w:rPr>
      </w:pPr>
      <w:r>
        <w:rPr>
          <w:b/>
          <w:bCs/>
          <w:color w:val="000000"/>
        </w:rPr>
        <w:t>6 ПОЛНОЕ НАИМЕНОВАНИЕ ИЗГОТОВИТЕЛЯ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jc w:val="both"/>
        <w:rPr>
          <w:color w:val="000000"/>
        </w:rPr>
      </w:pPr>
      <w:r>
        <w:rPr>
          <w:color w:val="000000"/>
        </w:rPr>
        <w:t>6.1 Общество с дополнительной ответственностью «Ветфарм», 220036, Минск, Западная, 13-478.</w:t>
      </w:r>
    </w:p>
    <w:p w:rsidR="00233201" w:rsidRDefault="00233201" w:rsidP="000C0BB5">
      <w:pPr>
        <w:pStyle w:val="western"/>
        <w:shd w:val="clear" w:color="auto" w:fill="FFFFFF"/>
        <w:spacing w:before="115" w:beforeAutospacing="0" w:after="115" w:afterAutospacing="0"/>
        <w:ind w:firstLine="708"/>
        <w:jc w:val="both"/>
        <w:rPr>
          <w:color w:val="000000"/>
        </w:rPr>
      </w:pPr>
      <w:r>
        <w:rPr>
          <w:color w:val="000000"/>
        </w:rPr>
        <w:t>Инструкция по применению ветеринарного препарата «Хиовет» разработана доцентом кафедрой физиологии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УО «Витебская ордена «Знак Почета» государственная академия ветеринарной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медицины» Ковзовым В.В., научным сотрудником НИИПВМБ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УО «Витебская ордена «Знак Почета» государственная академия ветеринарной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медицины» Фомченко И.В., </w:t>
      </w:r>
      <w:r>
        <w:t>», заведующим отдела токсикологии и незаразных болезней животных</w:t>
      </w:r>
      <w:r>
        <w:rPr>
          <w:color w:val="000000"/>
        </w:rPr>
        <w:t xml:space="preserve"> </w:t>
      </w:r>
      <w:r>
        <w:t xml:space="preserve">РУП «Институт экспериментальной ветеринарии им.  С.Н. Вышелесского» Кучинским М.П., </w:t>
      </w:r>
      <w:r>
        <w:rPr>
          <w:color w:val="000000"/>
        </w:rPr>
        <w:t>директором ОДО «Ветфарм» Барабашом С.А.</w:t>
      </w:r>
    </w:p>
    <w:p w:rsidR="00233201" w:rsidRDefault="00233201"/>
    <w:sectPr w:rsidR="00233201" w:rsidSect="00C2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BB5"/>
    <w:rsid w:val="000C0BB5"/>
    <w:rsid w:val="001A370B"/>
    <w:rsid w:val="0021762A"/>
    <w:rsid w:val="00233201"/>
    <w:rsid w:val="002E5A8F"/>
    <w:rsid w:val="007A5939"/>
    <w:rsid w:val="008C7861"/>
    <w:rsid w:val="009F587C"/>
    <w:rsid w:val="00A215ED"/>
    <w:rsid w:val="00AE7537"/>
    <w:rsid w:val="00AF641E"/>
    <w:rsid w:val="00C24F71"/>
    <w:rsid w:val="00C26441"/>
    <w:rsid w:val="00CC2163"/>
    <w:rsid w:val="00CD603C"/>
    <w:rsid w:val="00E456EC"/>
    <w:rsid w:val="00E5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semiHidden/>
    <w:rsid w:val="000C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C0BB5"/>
    <w:rPr>
      <w:rFonts w:cs="Times New Roman"/>
    </w:rPr>
  </w:style>
  <w:style w:type="table" w:styleId="TableGrid">
    <w:name w:val="Table Grid"/>
    <w:basedOn w:val="TableNormal"/>
    <w:uiPriority w:val="99"/>
    <w:rsid w:val="000C0B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834</Words>
  <Characters>4757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одобрено</dc:title>
  <dc:subject/>
  <dc:creator>Sergei</dc:creator>
  <cp:keywords/>
  <dc:description/>
  <cp:lastModifiedBy>Vetfarm</cp:lastModifiedBy>
  <cp:revision>3</cp:revision>
  <cp:lastPrinted>2016-11-04T10:13:00Z</cp:lastPrinted>
  <dcterms:created xsi:type="dcterms:W3CDTF">2021-11-11T11:46:00Z</dcterms:created>
  <dcterms:modified xsi:type="dcterms:W3CDTF">2021-11-11T12:12:00Z</dcterms:modified>
</cp:coreProperties>
</file>